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Yo sinvergüenza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2012-08-14 11:52:00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El que nace sinvergüenza de todas maneras vivirá como sinvergüenza y morirá como sinvergüenza, y la sociedad no lo excluye si es un político o una persona que ha generado mucho dinero.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</w:rPr>
        <w:t>n pocas palabras, si tiene dinero o poder el sinvergüenza se blanquea.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Como es posible leer la siguiente noticia y no sentirse indignado: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  <w:b/>
          <w:bCs/>
        </w:rPr>
        <w:t>Más de la mitad del Congreso tiene denuncias en Ética</w:t>
      </w:r>
    </w:p>
    <w:p>
      <w:pPr>
        <w:spacing w:before="0" w:after="0"/>
        <w:ind w:left="0" w:right="0"/>
        <w:jc w:val="both"/>
      </w:pPr>
      <w:r>
        <w:rPr>
          <w:rFonts w:ascii="Arial Black" w:eastAsia="Arial Black" w:hAnsi="Arial Black" w:cs="Arial Black"/>
          <w:i/>
          <w:iCs/>
          <w:sz w:val="22"/>
          <w:szCs w:val="22"/>
        </w:rPr>
        <w:t>En solo un año de trabajo legislativo (2011-2012), la Comisión de Ética del Congreso ha recibido 101 denuncias contra 78 congresistas de diversas bancadas.</w:t>
      </w:r>
    </w:p>
    <w:p>
      <w:pPr>
        <w:jc w:val="both"/>
      </w:pPr>
      <w:r>
        <w:rPr>
          <w:rFonts w:ascii="Arial Black" w:eastAsia="Arial Black" w:hAnsi="Arial Black" w:cs="Arial Black"/>
          <w:i/>
          <w:iCs/>
          <w:sz w:val="22"/>
          <w:szCs w:val="22"/>
        </w:rPr>
        <w:t> </w:t>
      </w:r>
    </w:p>
    <w:p>
      <w:pPr>
        <w:spacing w:before="0" w:after="0"/>
        <w:ind w:left="0" w:right="0"/>
        <w:jc w:val="both"/>
      </w:pPr>
      <w:r>
        <w:rPr>
          <w:rFonts w:ascii="Arial Black" w:eastAsia="Arial Black" w:hAnsi="Arial Black" w:cs="Arial Black"/>
          <w:i/>
          <w:iCs/>
          <w:sz w:val="22"/>
          <w:szCs w:val="22"/>
        </w:rPr>
        <w:t>Según informa el diario Peru21, agrava esta situación el hecho que el Legislativo evite poner en agenda del pleno siete informes finales ya emitidos por este grupo de trabajo y que recomiendan la suspensión de cada uno de los legisladores involucrados, entre ellos cuatro de Gana Perú y dos de Fuerza 2011.</w:t>
      </w:r>
    </w:p>
    <w:p>
      <w:pPr>
        <w:spacing w:before="0" w:after="0"/>
        <w:ind w:left="0" w:right="0"/>
        <w:jc w:val="both"/>
      </w:pPr>
      <w:r>
        <w:rPr>
          <w:rFonts w:ascii="Arial Black" w:eastAsia="Arial Black" w:hAnsi="Arial Black" w:cs="Arial Black"/>
          <w:i/>
          <w:iCs/>
          <w:sz w:val="22"/>
          <w:szCs w:val="22"/>
        </w:rPr>
        <w:t>Al respecto, el presidente de la Comisión de Ética, Humberto Lay, ha solicitado a la presidencia del Parlamento</w:t>
      </w:r>
      <w:r>
        <w:rPr>
          <w:rFonts w:ascii="Arial Black" w:eastAsia="Arial Black" w:hAnsi="Arial Black" w:cs="Arial Black"/>
          <w:i/>
          <w:iCs/>
          <w:sz w:val="22"/>
          <w:szCs w:val="22"/>
        </w:rPr>
        <w:t xml:space="preserve">  </w:t>
      </w:r>
      <w:r>
        <w:rPr>
          <w:rFonts w:ascii="Arial Black" w:eastAsia="Arial Black" w:hAnsi="Arial Black" w:cs="Arial Black"/>
          <w:i/>
          <w:iCs/>
          <w:sz w:val="22"/>
          <w:szCs w:val="22"/>
        </w:rPr>
        <w:t>que estos informes se pongan en agenda, sin éxito alguno.</w:t>
      </w:r>
      <w:r>
        <w:rPr>
          <w:rFonts w:ascii="Arial Black" w:eastAsia="Arial Black" w:hAnsi="Arial Black" w:cs="Arial Black"/>
          <w:i/>
          <w:iCs/>
          <w:sz w:val="22"/>
          <w:szCs w:val="22"/>
        </w:rPr>
        <w:t xml:space="preserve">  </w:t>
      </w:r>
      <w:r>
        <w:rPr>
          <w:rFonts w:ascii="Arial Black" w:eastAsia="Arial Black" w:hAnsi="Arial Black" w:cs="Arial Black"/>
          <w:i/>
          <w:iCs/>
          <w:sz w:val="22"/>
          <w:szCs w:val="22"/>
        </w:rPr>
        <w:t>Los oficios fueron enviados tanto al ex titular del Congreso, Daniel Abugattás, y a su sucesor, Víctor Isla.</w:t>
      </w:r>
    </w:p>
    <w:p>
      <w:pPr>
        <w:spacing w:before="0" w:after="0"/>
        <w:ind w:left="0" w:right="0"/>
        <w:jc w:val="both"/>
      </w:pPr>
    </w:p>
    <w:p>
      <w:pPr>
        <w:spacing w:before="0" w:after="0"/>
        <w:ind w:left="0" w:right="0"/>
        <w:jc w:val="both"/>
      </w:pP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Y qué…la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Yo sinvergüenza</dc:title>
  <cp:revision>0</cp:revision>
</cp:coreProperties>
</file>