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Terminología del vulgo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2014-02-26 12:17:00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Nosotros la gente común, no somos grandes expositores del habla culta, aquella llena de retórica que muchas veces es usada para cansar al público y no decir nada.</w:t>
      </w:r>
    </w:p>
    <w:p>
      <w:pPr>
        <w:jc w:val="both"/>
      </w:pPr>
    </w:p>
    <w:p>
      <w:pPr>
        <w:jc w:val="both"/>
      </w:pPr>
      <w:r>
        <w:rPr>
          <w:lang w:val="es-ES_tradnl" w:eastAsia="es-ES_tradnl"/>
        </w:rPr>
        <w:t>Nosotros somos más directos, no nos andamos por las rama, vamos de frente al grano. Cuando un hombre es dominado por su mujer, tenemos varios calificativos que van directo al corazón y dicen lo que tiene que decir.</w:t>
      </w:r>
    </w:p>
    <w:p>
      <w:pPr>
        <w:jc w:val="both"/>
      </w:pPr>
    </w:p>
    <w:p>
      <w:pPr>
        <w:jc w:val="both"/>
      </w:pPr>
      <w:r>
        <w:rPr>
          <w:lang w:val="es-ES_tradnl" w:eastAsia="es-ES_tradnl"/>
        </w:rPr>
        <w:t>Uno de los apelativos más claros es “Saco largo”  esta palabra pinta de cuerpo entero al “Pisado” también usamos “Calzonudo” “Huevas triste”  ó “Varón domado”, está última palabra es la más delicada de todas, es también la preferida de la suegra, cuando se refieren al marido, subyugado por su hijas.</w:t>
      </w:r>
    </w:p>
    <w:p>
      <w:pPr>
        <w:jc w:val="both"/>
      </w:pPr>
    </w:p>
    <w:p>
      <w:pPr>
        <w:jc w:val="both"/>
      </w:pPr>
      <w:r>
        <w:rPr>
          <w:lang w:val="es-ES_tradnl" w:eastAsia="es-ES_tradnl"/>
        </w:rPr>
        <w:t>En conclusión, cuando el “saco largo” existe, se completa en toda la extensión de la palabra y el significado “La mujer es el sexo débil”.</w:t>
      </w:r>
    </w:p>
    <w:p>
      <w:pPr>
        <w:jc w:val="both"/>
      </w:pPr>
    </w:p>
    <w:p>
      <w:pPr>
        <w:jc w:val="both"/>
      </w:pPr>
      <w:r>
        <w:rPr>
          <w:lang w:val="es-ES_tradnl" w:eastAsia="es-ES_tradnl"/>
        </w:rPr>
        <w:t>A quien le caiga el guante, que se lo chante. Mi  Abuelita me aconsejaba: A la mujer no la toques ni con el pétalo de la rosa, pero,  se zalamero, conquistador, mañoso,  para que nunca se te escape de la mano y quiera ella opinar por si misma.</w:t>
      </w:r>
    </w:p>
    <w:p>
      <w:pPr>
        <w:jc w:val="both"/>
      </w:pPr>
    </w:p>
    <w:p>
      <w:pPr>
        <w:jc w:val="both"/>
      </w:pPr>
    </w:p>
    <w:p>
      <w:pPr>
        <w:jc w:val="both"/>
      </w:pPr>
    </w:p>
    <w:p/>
    <w:p>
      <w:pPr>
        <w:jc w:val="both"/>
      </w:pPr>
      <w:r>
        <w:rPr>
          <w:lang w:val="es-ES_tradnl" w:eastAsia="es-ES_tradnl"/>
        </w:rPr>
        <w:t>Y qué… a la mujer con todo.</w:t>
      </w:r>
    </w:p>
    <w:p>
      <w:pPr>
        <w:jc w:val="both"/>
      </w:pPr>
    </w:p>
    <w:tbl>
      <w:tblPr>
        <w:jc w:val="center"/>
        <w:tblCellSpacing w:w="0" w:type="dxa"/>
        <w:tblCellMar>
          <w:top w:w="0" w:type="dxa"/>
          <w:left w:w="0" w:type="dxa"/>
          <w:bottom w:w="0" w:type="dxa"/>
          <w:right w:w="0" w:type="dxa"/>
        </w:tblCellMar>
      </w:tblPr>
      <w:tblGrid>
        <w:gridCol w:w="3235"/>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202882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028825" cy="3048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t>¿Dime que no caes en sus garras?</w:t>
            </w:r>
          </w:p>
        </w:tc>
      </w:tr>
    </w:tbl>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3QaTbSJni0k/Uw4hheiKEDI/AAAAAAAADPg/fzgf8AExL84/s1600/06f6f73ca03b2a9d53b10f039ef8cd96.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Terminología del vulgo</dc:title>
  <cp:revision>0</cp:revision>
</cp:coreProperties>
</file>