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Qué importa la dieta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2012-11-16 10:56:00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3810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sz w:val="27"/>
                <w:szCs w:val="27"/>
              </w:rPr>
              <w:t>La dieta no puede contra el mousse de chocolate</w:t>
            </w:r>
            <w:r>
              <w:rPr>
                <w:b/>
                <w:bCs/>
                <w:sz w:val="27"/>
                <w:szCs w:val="27"/>
              </w:rPr>
              <w:br/>
            </w:r>
          </w:p>
          <w:p>
            <w:pPr>
              <w:jc w:val="left"/>
            </w:pPr>
            <w:r>
              <w:t> </w:t>
            </w:r>
          </w:p>
          <w:p>
            <w:pPr>
              <w:jc w:val="left"/>
            </w:pPr>
            <w:r>
              <w:t> </w:t>
            </w:r>
          </w:p>
          <w:p>
            <w:pPr>
              <w:jc w:val="left"/>
            </w:pPr>
            <w:r>
              <w:rPr>
                <w:sz w:val="20"/>
                <w:szCs w:val="20"/>
              </w:rPr>
              <w:t>Y qué...la misma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p2clWZ__nmI/UKZgugNw6HI/AAAAAAAABbE/ZFKld0Houdk/s1600/1200-Dulce-en-japones-300x30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Qué importa la dieta</dc:title>
  <cp:revision>0</cp:revision>
</cp:coreProperties>
</file>