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Publicidad subliminal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2010-08-26 12:02:00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Se considera a aquellos mensajes visuales que contienen información que no se puede observar a simple vista, como por ejemplo los anuncios de imagen fija en revistas ilustradas o en carteles.</w:t>
      </w:r>
    </w:p>
    <w:p>
      <w:pPr>
        <w:jc w:val="both"/>
      </w:pPr>
    </w:p>
    <w:p>
      <w:pPr>
        <w:jc w:val="both"/>
      </w:pPr>
      <w:r>
        <w:t>En una revistas de tiras cómicas alemana, se puede observa claramente al famoso Pato Donald, a un hombre muy grande hablando y atrás suyo a Hitler. Pasa completamente desapercibido.</w:t>
      </w:r>
    </w:p>
    <w:p>
      <w:pPr>
        <w:jc w:val="both"/>
      </w:pPr>
    </w:p>
    <w:p>
      <w:pPr>
        <w:jc w:val="both"/>
      </w:pPr>
      <w:r>
        <w:t>¿Qué opinas, es subliminal a no?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pQelyEtCdyk/THadvt1ryKI/AAAAAAAAAOQ/4TAOceS8TnE/s1600/Hitler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Publicidad subliminal</dc:title>
  <cp:revision>0</cp:revision>
</cp:coreProperties>
</file>