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Navidad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2010-12-25 20:20:00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i/>
          <w:iCs/>
          <w:sz w:val="27"/>
          <w:szCs w:val="27"/>
        </w:rPr>
      </w:pPr>
      <w:r>
        <w:rPr>
          <w:i/>
          <w:iCs/>
          <w:sz w:val="27"/>
          <w:szCs w:val="27"/>
        </w:rPr>
        <w:t>Aquel que es la Palabra se hizo hombre y vivió entre nosotros</w:t>
      </w:r>
      <w:r>
        <w:rPr>
          <w:i/>
          <w:iCs/>
          <w:sz w:val="27"/>
          <w:szCs w:val="27"/>
        </w:rPr>
        <w:br/>
      </w:r>
      <w:r>
        <w:rPr>
          <w:i/>
          <w:iCs/>
          <w:sz w:val="27"/>
          <w:szCs w:val="27"/>
        </w:rPr>
        <w:br/>
      </w:r>
      <w:r>
        <w:rPr>
          <w:i/>
          <w:iCs/>
          <w:sz w:val="27"/>
          <w:szCs w:val="27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6860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Pues Dios amó tanto al mundo, que dio a su Hijo único, para que todo aquel que cree en él no muera, sino que tenga vida eterna.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hm-a03.yimg.com/nimage/07bb5d788c4d7e10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Navidad</dc:title>
  <cp:revision>0</cp:revision>
</cp:coreProperties>
</file>