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ley referencial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2009-11-25 21:31:00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Que se puede decir cuando un ex ministro comete un error y termina actuando contra la ley?</w:t>
      </w:r>
    </w:p>
    <w:p>
      <w:pPr>
        <w:jc w:val="both"/>
      </w:pPr>
      <w:r>
        <w:t>Es una realidad urbana, las autoridades se preocupan por sus propios intereses y no por los intereses de la comunidad.</w:t>
      </w:r>
    </w:p>
    <w:p>
      <w:pPr>
        <w:jc w:val="both"/>
      </w:pPr>
      <w:r>
        <w:t>Mucho hemos visto y oido tanto que es normal escuchar, otorongo no come otorongo, dicho que refleja la poca importancia que tiene el ciudadano para las autoridades politicas del pais.</w:t>
      </w:r>
    </w:p>
    <w:p>
      <w:pPr>
        <w:jc w:val="both"/>
      </w:pPr>
      <w:r>
        <w:t xml:space="preserve">Y que 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ley referencial</dc:title>
  <cp:revision>0</cp:revision>
</cp:coreProperties>
</file>