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Julio Ramón Ribeyro (Lima, 1929-1994)</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2013-12-04 10:28:00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Escritor peruano, de la llamada Generación del 50 fue sin duda alguna una figura destacada. Ribeyro es considerado fundamentalmente un cuentista, probablemente el mejor de toda la tradición literaria del Perú. </w:t>
      </w:r>
    </w:p>
    <w:p>
      <w:pPr>
        <w:spacing w:before="0" w:after="80"/>
        <w:ind w:left="0" w:right="0"/>
        <w:jc w:val="both"/>
      </w:pPr>
      <w:r>
        <w:t> </w:t>
      </w:r>
    </w:p>
    <w:p>
      <w:pPr>
        <w:spacing w:before="0" w:after="80"/>
        <w:ind w:left="0" w:right="0"/>
        <w:jc w:val="both"/>
      </w:pPr>
      <w:r>
        <w:rPr>
          <w:rFonts w:ascii="Arial" w:eastAsia="Arial" w:hAnsi="Arial" w:cs="Arial"/>
        </w:rPr>
        <w:t xml:space="preserve">Principales Obras de Ribeyro </w:t>
      </w:r>
    </w:p>
    <w:p>
      <w:pPr>
        <w:spacing w:before="0" w:after="80"/>
        <w:ind w:left="0" w:right="0"/>
        <w:jc w:val="both"/>
      </w:pPr>
      <w:r>
        <w:rPr>
          <w:rFonts w:ascii="Arial" w:eastAsia="Arial" w:hAnsi="Arial" w:cs="Arial"/>
        </w:rPr>
        <w:t>Los gallinazos sin plumas (1955)</w:t>
      </w:r>
    </w:p>
    <w:p>
      <w:pPr>
        <w:jc w:val="both"/>
      </w:pPr>
      <w:r>
        <w:rPr>
          <w:rFonts w:ascii="Arial" w:eastAsia="Arial" w:hAnsi="Arial" w:cs="Arial"/>
        </w:rPr>
        <w:t>Cuentos de circunstancias (1958)</w:t>
      </w:r>
    </w:p>
    <w:p>
      <w:pPr>
        <w:jc w:val="both"/>
      </w:pPr>
      <w:r>
        <w:rPr>
          <w:rFonts w:ascii="Arial" w:eastAsia="Arial" w:hAnsi="Arial" w:cs="Arial"/>
        </w:rPr>
        <w:t>Crónica de San Gabriel (1960)</w:t>
      </w:r>
    </w:p>
    <w:p>
      <w:pPr>
        <w:jc w:val="both"/>
      </w:pPr>
      <w:r>
        <w:rPr>
          <w:rFonts w:ascii="Arial" w:eastAsia="Arial" w:hAnsi="Arial" w:cs="Arial"/>
        </w:rPr>
        <w:t>Las botellas y los hombres (1964)</w:t>
      </w:r>
    </w:p>
    <w:p>
      <w:pPr>
        <w:jc w:val="both"/>
      </w:pPr>
      <w:r>
        <w:rPr>
          <w:rFonts w:ascii="Arial" w:eastAsia="Arial" w:hAnsi="Arial" w:cs="Arial"/>
        </w:rPr>
        <w:t>Tres historias sublevantes (1964)</w:t>
      </w:r>
    </w:p>
    <w:p>
      <w:pPr>
        <w:jc w:val="both"/>
      </w:pPr>
      <w:r>
        <w:rPr>
          <w:rFonts w:ascii="Arial" w:eastAsia="Arial" w:hAnsi="Arial" w:cs="Arial"/>
        </w:rPr>
        <w:t>El próximo mes me nivelo (1972)</w:t>
      </w:r>
    </w:p>
    <w:p>
      <w:pPr>
        <w:jc w:val="both"/>
      </w:pPr>
      <w:r>
        <w:rPr>
          <w:rFonts w:ascii="Arial" w:eastAsia="Arial" w:hAnsi="Arial" w:cs="Arial"/>
        </w:rPr>
        <w:t>Teatro (1975)</w:t>
      </w:r>
    </w:p>
    <w:p>
      <w:pPr>
        <w:jc w:val="both"/>
      </w:pPr>
      <w:r>
        <w:rPr>
          <w:rFonts w:ascii="Arial" w:eastAsia="Arial" w:hAnsi="Arial" w:cs="Arial"/>
        </w:rPr>
        <w:t>La caza sutil (1975)</w:t>
      </w:r>
    </w:p>
    <w:p>
      <w:pPr>
        <w:jc w:val="both"/>
      </w:pPr>
      <w:r>
        <w:rPr>
          <w:rFonts w:ascii="Arial" w:eastAsia="Arial" w:hAnsi="Arial" w:cs="Arial"/>
        </w:rPr>
        <w:t>Cambio de guardia (1976)</w:t>
      </w:r>
    </w:p>
    <w:p>
      <w:pPr>
        <w:jc w:val="both"/>
      </w:pPr>
      <w:r>
        <w:rPr>
          <w:rFonts w:ascii="Arial" w:eastAsia="Arial" w:hAnsi="Arial" w:cs="Arial"/>
        </w:rPr>
        <w:t>Silvio en el rosedal (1977)</w:t>
      </w:r>
    </w:p>
    <w:p>
      <w:pPr>
        <w:jc w:val="both"/>
      </w:pPr>
      <w:r>
        <w:rPr>
          <w:rFonts w:ascii="Arial" w:eastAsia="Arial" w:hAnsi="Arial" w:cs="Arial"/>
        </w:rPr>
        <w:t>Atusparia (1981)</w:t>
      </w:r>
    </w:p>
    <w:p>
      <w:pPr>
        <w:jc w:val="both"/>
      </w:pPr>
      <w:r>
        <w:rPr>
          <w:rFonts w:ascii="Arial" w:eastAsia="Arial" w:hAnsi="Arial" w:cs="Arial"/>
        </w:rPr>
        <w:t>Los geniecillos dominicales (1965)</w:t>
      </w:r>
    </w:p>
    <w:p>
      <w:pPr>
        <w:jc w:val="both"/>
      </w:pPr>
      <w:r>
        <w:rPr>
          <w:rFonts w:ascii="Arial" w:eastAsia="Arial" w:hAnsi="Arial" w:cs="Arial"/>
        </w:rPr>
        <w:t>Prosas apátridas (1975; 1986)</w:t>
      </w:r>
    </w:p>
    <w:p>
      <w:pPr>
        <w:jc w:val="both"/>
      </w:pPr>
      <w:r>
        <w:rPr>
          <w:rFonts w:ascii="Arial" w:eastAsia="Arial" w:hAnsi="Arial" w:cs="Arial"/>
        </w:rPr>
        <w:t>La tentación del fracaso (1987)</w:t>
      </w:r>
    </w:p>
    <w:p>
      <w:pPr>
        <w:jc w:val="both"/>
      </w:pPr>
      <w:r>
        <w:rPr>
          <w:rFonts w:ascii="Arial" w:eastAsia="Arial" w:hAnsi="Arial" w:cs="Arial"/>
        </w:rPr>
        <w:t>Sólo para Fumadores (1987</w:t>
      </w:r>
    </w:p>
    <w:p>
      <w:pPr>
        <w:spacing w:before="0" w:after="80"/>
        <w:ind w:left="0" w:right="0"/>
        <w:jc w:val="both"/>
      </w:pPr>
      <w:r>
        <w:t> </w:t>
      </w:r>
    </w:p>
    <w:p>
      <w:pPr>
        <w:spacing w:before="0" w:after="80"/>
        <w:ind w:left="0" w:right="0"/>
        <w:jc w:val="both"/>
      </w:pPr>
      <w:r>
        <w:rPr>
          <w:rFonts w:ascii="Arial" w:eastAsia="Arial" w:hAnsi="Arial" w:cs="Arial"/>
        </w:rPr>
        <w:t>La imagen en la caratula del libro "Los gallinazos sin plumas" refleja a los niños en los basurales recogiendo plásticos, cartones, papeles, vidrios etc para venderlo a los recicladores.</w:t>
      </w:r>
    </w:p>
    <w:p>
      <w:pPr>
        <w:spacing w:before="0" w:after="80"/>
        <w:ind w:left="0" w:right="0"/>
        <w:jc w:val="both"/>
      </w:pPr>
      <w:r>
        <w:rPr>
          <w:rFonts w:ascii="Arial" w:eastAsia="Arial" w:hAnsi="Arial" w:cs="Arial"/>
        </w:rPr>
        <w:t> </w:t>
      </w:r>
      <w:r>
        <w:rPr>
          <w:rFonts w:ascii="Arial" w:eastAsia="Arial" w:hAnsi="Arial" w:cs="Arial"/>
        </w:rPr>
        <w:t> </w:t>
      </w:r>
    </w:p>
    <w:p>
      <w:pPr>
        <w:spacing w:before="0" w:after="80"/>
        <w:ind w:left="0" w:right="0"/>
        <w:jc w:val="both"/>
      </w:pPr>
      <w:r>
        <w:rPr>
          <w:rFonts w:ascii="Arial" w:eastAsia="Arial" w:hAnsi="Arial" w:cs="Arial"/>
        </w:rPr>
        <w:t>Y qué…duele pero es una forma de vida</w:t>
      </w:r>
    </w:p>
    <w:p>
      <w:pPr>
        <w:spacing w:before="0" w:after="80"/>
        <w:ind w:left="0" w:right="0"/>
        <w:jc w:val="both"/>
      </w:pPr>
      <w:r>
        <w:t> </w:t>
      </w:r>
    </w:p>
    <w:p>
      <w:pPr>
        <w:spacing w:before="0" w:after="80"/>
        <w:ind w:left="0" w:right="0"/>
        <w:jc w:val="both"/>
      </w:pPr>
      <w:r>
        <w:t> </w:t>
      </w:r>
    </w:p>
    <w:p>
      <w:pPr>
        <w:jc w:val="center"/>
      </w:pPr>
      <w:hyperlink r:id="rId4" w:history="1"/>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304843" cy="304843"/>
            <wp:wrapSquare wrapText="bothSides"/>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a:hlinkClick xmlns:a="http://schemas.openxmlformats.org/drawingml/2006/main" xmlns:r="http://schemas.openxmlformats.org/officeDocument/2006/relationships" r:id="rId4"/>
                    </pic:cNvPr>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anchor>
        </w:drawing>
      </w:r>
      <w:r>
        <w:rPr>
          <w:strike w:val="0"/>
          <w:color w:val="0000EE"/>
          <w:u w:val="none"/>
        </w:rPr>
        <w:br/>
      </w:r>
    </w:p>
    <w:p>
      <w:pPr>
        <w:spacing w:before="0" w:after="80"/>
        <w:ind w:left="0" w:right="0"/>
        <w:jc w:val="both"/>
      </w:pPr>
      <w:r>
        <w:t> </w:t>
      </w:r>
    </w:p>
    <w:p>
      <w:pPr>
        <w:jc w:val="center"/>
      </w:pPr>
    </w:p>
    <w:p>
      <w:pPr>
        <w:spacing w:before="0" w:after="80"/>
        <w:ind w:left="0" w:right="0"/>
        <w:jc w:val="center"/>
      </w:pPr>
      <w:r>
        <w:rPr>
          <w:rFonts w:ascii="Arial" w:eastAsia="Arial" w:hAnsi="Arial" w:cs="Arial"/>
        </w:rPr>
        <w:t> </w:t>
      </w:r>
    </w:p>
    <w:p>
      <w:pPr>
        <w:jc w:val="center"/>
      </w:pPr>
    </w:p>
    <w:p>
      <w:pPr>
        <w:jc w:val="center"/>
      </w:pPr>
      <w:r>
        <w:rPr>
          <w:strike w:val="0"/>
          <w:color w:val="0000EE"/>
          <w:u w:val="none"/>
        </w:rPr>
        <w:drawing>
          <wp:anchor simplePos="0" relativeHeight="251659264" behindDoc="0" locked="0" layoutInCell="1" allowOverlap="0">
            <wp:simplePos x="0" y="0"/>
            <wp:positionH relativeFrom="column">
              <wp:align>right</wp:align>
            </wp:positionH>
            <wp:positionV relativeFrom="line">
              <wp:posOffset>0</wp:posOffset>
            </wp:positionV>
            <wp:extent cx="304843" cy="304843"/>
            <wp:wrapSquare wrapText="bothSides"/>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a:hlinkClick xmlns:a="http://schemas.openxmlformats.org/drawingml/2006/main" xmlns:r="http://schemas.openxmlformats.org/officeDocument/2006/relationships" r:id="rId6"/>
                    </pic:cNvPr>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anchor>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ytPERtUM7lw/Up9JiujGOEI/AAAAAAAAC-0/jMi16riA3Zc/s1600/untitled.png" TargetMode="External" /><Relationship Id="rId5" Type="http://schemas.openxmlformats.org/officeDocument/2006/relationships/image" Target="media/image1.png" /><Relationship Id="rId6" Type="http://schemas.openxmlformats.org/officeDocument/2006/relationships/hyperlink" Target="http://3.bp.blogspot.com/-8sOs6-LrNsc/Up9JrUploOI/AAAAAAAAC-8/_F8eGvZDqxQ/s1600/images222.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Julio Ramón Ribeyro (Lima, 1929-1994)</dc:title>
  <cp:revision>0</cp:revision>
</cp:coreProperties>
</file>