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 Generated by Aspose.Words for Cloud for .NET 23.7.0 -->
  <w:body>
    <w:p>
      <w:pPr>
        <w:pStyle w:val="Heading1"/>
        <w:keepNext w:val="0"/>
        <w:keepLines w:val="0"/>
        <w:spacing w:before="0" w:after="299"/>
        <w:rPr>
          <w:b/>
          <w:bCs/>
          <w:sz w:val="36"/>
          <w:szCs w:val="36"/>
        </w:rPr>
      </w:pPr>
      <w:r>
        <w:rPr>
          <w:rFonts w:ascii="Times New Roman" w:eastAsia="Times New Roman" w:hAnsi="Times New Roman" w:cs="Times New Roman"/>
          <w:i w:val="0"/>
          <w:color w:val="auto"/>
          <w:sz w:val="36"/>
          <w:szCs w:val="36"/>
        </w:rPr>
        <w:t>Inusuales ataúdes hechos en Ghana</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Date</w:t>
            </w:r>
          </w:p>
        </w:tc>
        <w:tc>
          <w:tcPr>
            <w:tcMar>
              <w:top w:w="15" w:type="dxa"/>
              <w:left w:w="15" w:type="dxa"/>
              <w:bottom w:w="15" w:type="dxa"/>
              <w:right w:w="15" w:type="dxa"/>
            </w:tcMar>
            <w:vAlign w:val="center"/>
            <w:hideMark/>
          </w:tcPr>
          <w:p>
            <w:r>
              <w:t>2012-03-01 11:35:00</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Categories</w:t>
            </w:r>
          </w:p>
        </w:tc>
        <w:tc>
          <w:tcPr>
            <w:tcMar>
              <w:top w:w="15" w:type="dxa"/>
              <w:left w:w="15" w:type="dxa"/>
              <w:bottom w:w="15" w:type="dxa"/>
              <w:right w:w="15" w:type="dxa"/>
            </w:tcMar>
            <w:vAlign w:val="center"/>
            <w:hideMark/>
          </w:tcPr>
          <w:p>
            <w:r>
              <w:t xml:space="preserve">jt </w:t>
            </w:r>
          </w:p>
        </w:tc>
      </w:tr>
    </w:tbl>
    <w:p>
      <w:pPr>
        <w:jc w:val="both"/>
      </w:pPr>
      <w:r>
        <w:t>¿Por qué un ataúd debe ser la misma caja clásica aburrida? En Ghana puedes pedir que lo elaboren de la forma que desees ya sea una langosta, un pimiento rojo, cualquier ave de corral o algún modelo de zapato.</w:t>
      </w:r>
    </w:p>
    <w:p>
      <w:pPr>
        <w:jc w:val="both"/>
      </w:pPr>
    </w:p>
    <w:p>
      <w:pPr>
        <w:jc w:val="both"/>
      </w:pPr>
      <w:r>
        <w:t>Esta tradición es joven y surgió por un accidente ridículo en la mitad del siglo pasado, uno de los gobernantes de Ghana ordenó una cama con la forma de un águila, y casualmente la entregaron el día de su muerte. Familiares cercanos han dicho que enterraron al monarca en ella, no se sabe si es verdad.</w:t>
      </w:r>
    </w:p>
    <w:p>
      <w:pPr>
        <w:jc w:val="both"/>
      </w:pPr>
    </w:p>
    <w:p>
      <w:r>
        <w:t>Las fotos nos dejan ver algunos modelitos</w:t>
      </w:r>
      <w:r>
        <w:br/>
      </w:r>
      <w:r>
        <w:br/>
      </w:r>
      <w:r>
        <w:rPr>
          <w:strike w:val="0"/>
          <w:color w:val="0000EE"/>
          <w:u w:val="none" w:color="0000EE"/>
        </w:rPr>
        <w:drawing>
          <wp:inline>
            <wp:extent cx="3048000" cy="2019300"/>
            <wp:docPr id="100001" name="">
              <a:hlinkClick xmlns:a="http://schemas.openxmlformats.org/drawingml/2006/main" xmlns:r="http://schemas.openxmlformats.org/officeDocument/2006/relationships" r:id="rId4"/>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1" name=""/>
                    <pic:cNvPicPr>
                      <a:picLocks noChangeAspect="1"/>
                    </pic:cNvPicPr>
                  </pic:nvPicPr>
                  <pic:blipFill>
                    <a:blip xmlns:r="http://schemas.openxmlformats.org/officeDocument/2006/relationships" r:embed="rId5"/>
                    <a:stretch>
                      <a:fillRect/>
                    </a:stretch>
                  </pic:blipFill>
                  <pic:spPr>
                    <a:xfrm>
                      <a:off x="0" y="0"/>
                      <a:ext cx="3048000" cy="2019300"/>
                    </a:xfrm>
                    <a:prstGeom prst="rect">
                      <a:avLst/>
                    </a:prstGeom>
                  </pic:spPr>
                </pic:pic>
              </a:graphicData>
            </a:graphic>
          </wp:inline>
        </w:drawing>
      </w:r>
    </w:p>
    <w:p>
      <w:pPr>
        <w:jc w:val="center"/>
      </w:pPr>
      <w:r>
        <w:rPr>
          <w:strike w:val="0"/>
          <w:color w:val="0000EE"/>
          <w:u w:val="none" w:color="0000EE"/>
        </w:rPr>
        <w:drawing>
          <wp:inline>
            <wp:extent cx="1295400" cy="1905000"/>
            <wp:docPr id="100003" name="">
              <a:hlinkClick xmlns:a="http://schemas.openxmlformats.org/drawingml/2006/main" xmlns:r="http://schemas.openxmlformats.org/officeDocument/2006/relationships" r:id="rId6"/>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3" name=""/>
                    <pic:cNvPicPr>
                      <a:picLocks noChangeAspect="1"/>
                    </pic:cNvPicPr>
                  </pic:nvPicPr>
                  <pic:blipFill>
                    <a:blip xmlns:r="http://schemas.openxmlformats.org/officeDocument/2006/relationships" r:embed="rId5"/>
                    <a:stretch>
                      <a:fillRect/>
                    </a:stretch>
                  </pic:blipFill>
                  <pic:spPr>
                    <a:xfrm>
                      <a:off x="0" y="0"/>
                      <a:ext cx="1295400" cy="1905000"/>
                    </a:xfrm>
                    <a:prstGeom prst="rect">
                      <a:avLst/>
                    </a:prstGeom>
                  </pic:spPr>
                </pic:pic>
              </a:graphicData>
            </a:graphic>
          </wp:inline>
        </w:drawing>
      </w:r>
    </w:p>
    <w:p>
      <w:pPr>
        <w:jc w:val="center"/>
      </w:pPr>
    </w:p>
    <w:p>
      <w:pPr>
        <w:jc w:val="center"/>
      </w:pPr>
      <w:r>
        <w:rPr>
          <w:strike w:val="0"/>
          <w:color w:val="0000EE"/>
          <w:u w:val="none" w:color="0000EE"/>
        </w:rPr>
        <w:drawing>
          <wp:inline>
            <wp:extent cx="4048125" cy="2686050"/>
            <wp:docPr id="100005" name="">
              <a:hlinkClick xmlns:a="http://schemas.openxmlformats.org/drawingml/2006/main" xmlns:r="http://schemas.openxmlformats.org/officeDocument/2006/relationships" r:id="rId7"/>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5" name=""/>
                    <pic:cNvPicPr>
                      <a:picLocks noChangeAspect="1"/>
                    </pic:cNvPicPr>
                  </pic:nvPicPr>
                  <pic:blipFill>
                    <a:blip xmlns:r="http://schemas.openxmlformats.org/officeDocument/2006/relationships" r:embed="rId5"/>
                    <a:stretch>
                      <a:fillRect/>
                    </a:stretch>
                  </pic:blipFill>
                  <pic:spPr>
                    <a:xfrm>
                      <a:off x="0" y="0"/>
                      <a:ext cx="4048125" cy="2686050"/>
                    </a:xfrm>
                    <a:prstGeom prst="rect">
                      <a:avLst/>
                    </a:prstGeom>
                  </pic:spPr>
                </pic:pic>
              </a:graphicData>
            </a:graphic>
          </wp:inline>
        </w:drawing>
      </w:r>
    </w:p>
    <w:p>
      <w:pPr>
        <w:jc w:val="center"/>
      </w:pPr>
    </w:p>
    <w:p>
      <w:pPr>
        <w:jc w:val="center"/>
      </w:pPr>
      <w:r>
        <w:rPr>
          <w:strike w:val="0"/>
          <w:color w:val="0000EE"/>
          <w:u w:val="none" w:color="0000EE"/>
        </w:rPr>
        <w:drawing>
          <wp:inline>
            <wp:extent cx="4048125" cy="2209800"/>
            <wp:docPr id="100007" name="">
              <a:hlinkClick xmlns:a="http://schemas.openxmlformats.org/drawingml/2006/main" xmlns:r="http://schemas.openxmlformats.org/officeDocument/2006/relationships" r:id="rId8"/>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7" name=""/>
                    <pic:cNvPicPr>
                      <a:picLocks noChangeAspect="1"/>
                    </pic:cNvPicPr>
                  </pic:nvPicPr>
                  <pic:blipFill>
                    <a:blip xmlns:r="http://schemas.openxmlformats.org/officeDocument/2006/relationships" r:embed="rId5"/>
                    <a:stretch>
                      <a:fillRect/>
                    </a:stretch>
                  </pic:blipFill>
                  <pic:spPr>
                    <a:xfrm>
                      <a:off x="0" y="0"/>
                      <a:ext cx="4048125" cy="2209800"/>
                    </a:xfrm>
                    <a:prstGeom prst="rect">
                      <a:avLst/>
                    </a:prstGeom>
                  </pic:spPr>
                </pic:pic>
              </a:graphicData>
            </a:graphic>
          </wp:inline>
        </w:drawing>
      </w:r>
    </w:p>
    <w:p>
      <w:pPr>
        <w:jc w:val="center"/>
      </w:pPr>
    </w:p>
    <w:p>
      <w:pPr>
        <w:jc w:val="center"/>
      </w:pPr>
      <w:r>
        <w:rPr>
          <w:strike w:val="0"/>
          <w:color w:val="0000EE"/>
          <w:u w:val="none" w:color="0000EE"/>
        </w:rPr>
        <w:drawing>
          <wp:inline>
            <wp:extent cx="3571875" cy="6096000"/>
            <wp:docPr id="100009" name="">
              <a:hlinkClick xmlns:a="http://schemas.openxmlformats.org/drawingml/2006/main" xmlns:r="http://schemas.openxmlformats.org/officeDocument/2006/relationships" r:id="rId9"/>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9" name=""/>
                    <pic:cNvPicPr>
                      <a:picLocks noChangeAspect="1"/>
                    </pic:cNvPicPr>
                  </pic:nvPicPr>
                  <pic:blipFill>
                    <a:blip xmlns:r="http://schemas.openxmlformats.org/officeDocument/2006/relationships" r:embed="rId5"/>
                    <a:stretch>
                      <a:fillRect/>
                    </a:stretch>
                  </pic:blipFill>
                  <pic:spPr>
                    <a:xfrm>
                      <a:off x="0" y="0"/>
                      <a:ext cx="3571875" cy="6096000"/>
                    </a:xfrm>
                    <a:prstGeom prst="rect">
                      <a:avLst/>
                    </a:prstGeom>
                  </pic:spPr>
                </pic:pic>
              </a:graphicData>
            </a:graphic>
          </wp:inline>
        </w:drawing>
      </w:r>
    </w:p>
    <w:p>
      <w:pPr>
        <w:jc w:val="center"/>
      </w:pPr>
    </w:p>
    <w:p>
      <w:pPr>
        <w:jc w:val="left"/>
      </w:pPr>
      <w:r>
        <w:t>Y qué...la misma vaina</w:t>
      </w:r>
    </w:p>
    <w:p>
      <w:pPr>
        <w:jc w:val="center"/>
      </w:pPr>
    </w:p>
    <w:p>
      <w:pPr>
        <w:jc w:val="center"/>
      </w:pPr>
    </w:p>
    <w:p>
      <w:r>
        <w:t xml:space="preserve">                                                                                       </w:t>
      </w:r>
      <w:r>
        <w:br/>
      </w:r>
      <w:r>
        <w:t xml:space="preserve">  </w:t>
      </w:r>
    </w:p>
    <w:sectPr>
      <w:pgMar w:header="720" w:footer="72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normal"/>
  <w:zoom w:percent="100"/>
  <w:defaultTabStop w:val="720"/>
  <w:noPunctuationKerning/>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rPr>
      <w:sz w:val="24"/>
      <w:szCs w:val="24"/>
    </w:rPr>
  </w:style>
  <w:style w:type="paragraph" w:styleId="Heading1">
    <w:name w:val="heading 1"/>
    <w:basedOn w:val="Normal"/>
    <w:next w:val="Normal"/>
    <w:link w:val="Heading1Char"/>
    <w:uiPriority w:val="9"/>
    <w:qFormat/>
    <w:rsid w:val="00506D7A"/>
    <w:pPr>
      <w:keepNext/>
      <w:keepLines/>
      <w:spacing w:before="240" w:after="0"/>
      <w:outlineLvl w:val="0"/>
    </w:pPr>
    <w:rPr>
      <w:rFonts w:ascii="Times New Roman" w:eastAsia="Times New Roman" w:hAnsi="Times New Roman" w:cs="Times New Roman"/>
      <w:b/>
      <w:bCs/>
      <w:i w:val="0"/>
      <w:color w:val="2F5496" w:themeShade="BF"/>
      <w:kern w:val="36"/>
      <w:sz w:val="48"/>
      <w:szCs w:val="48"/>
    </w:rPr>
  </w:style>
  <w:style w:type="paragraph" w:styleId="Heading2">
    <w:name w:val="heading 2"/>
    <w:basedOn w:val="Normal"/>
    <w:next w:val="Normal"/>
    <w:link w:val="Heading2Char"/>
    <w:uiPriority w:val="9"/>
    <w:qFormat/>
    <w:rsid w:val="00506D7A"/>
    <w:pPr>
      <w:keepNext/>
      <w:keepLines/>
      <w:spacing w:before="40" w:after="0"/>
      <w:outlineLvl w:val="1"/>
    </w:pPr>
    <w:rPr>
      <w:rFonts w:ascii="Times New Roman" w:eastAsia="Times New Roman" w:hAnsi="Times New Roman" w:cs="Times New Roman"/>
      <w:b/>
      <w:bCs/>
      <w:i w:val="0"/>
      <w:color w:val="2F5496" w:themeShade="BF"/>
      <w:sz w:val="36"/>
      <w:szCs w:val="36"/>
    </w:rPr>
  </w:style>
  <w:style w:type="paragraph" w:styleId="Heading3">
    <w:name w:val="heading 3"/>
    <w:basedOn w:val="Normal"/>
    <w:next w:val="Normal"/>
    <w:link w:val="Heading3Char"/>
    <w:uiPriority w:val="9"/>
    <w:qFormat/>
    <w:rsid w:val="00506D7A"/>
    <w:pPr>
      <w:keepNext/>
      <w:keepLines/>
      <w:spacing w:before="40" w:after="0"/>
      <w:outlineLvl w:val="2"/>
    </w:pPr>
    <w:rPr>
      <w:rFonts w:ascii="Times New Roman" w:eastAsia="Times New Roman" w:hAnsi="Times New Roman" w:cs="Times New Roman"/>
      <w:b/>
      <w:bCs/>
      <w:i w:val="0"/>
      <w:color w:val="1F3763" w:themeShade="7F"/>
      <w:sz w:val="28"/>
      <w:szCs w:val="28"/>
    </w:rPr>
  </w:style>
  <w:style w:type="paragraph" w:styleId="Heading4">
    <w:name w:val="heading 4"/>
    <w:basedOn w:val="Normal"/>
    <w:next w:val="Normal"/>
    <w:link w:val="Heading4Char"/>
    <w:uiPriority w:val="9"/>
    <w:qFormat/>
    <w:rsid w:val="00506D7A"/>
    <w:pPr>
      <w:keepNext/>
      <w:keepLines/>
      <w:spacing w:before="40" w:after="0"/>
      <w:outlineLvl w:val="3"/>
    </w:pPr>
    <w:rPr>
      <w:rFonts w:ascii="Times New Roman" w:eastAsia="Times New Roman" w:hAnsi="Times New Roman" w:cs="Times New Roman"/>
      <w:b/>
      <w:bCs/>
      <w:i w:val="0"/>
      <w:iCs/>
      <w:color w:val="2F5496" w:themeShade="BF"/>
      <w:sz w:val="24"/>
      <w:szCs w:val="24"/>
    </w:rPr>
  </w:style>
  <w:style w:type="paragraph" w:styleId="Heading5">
    <w:name w:val="heading 5"/>
    <w:basedOn w:val="Normal"/>
    <w:next w:val="Normal"/>
    <w:link w:val="Heading5Char"/>
    <w:uiPriority w:val="9"/>
    <w:qFormat/>
    <w:rsid w:val="00506D7A"/>
    <w:pPr>
      <w:keepNext/>
      <w:keepLines/>
      <w:spacing w:before="40" w:after="0"/>
      <w:outlineLvl w:val="4"/>
    </w:pPr>
    <w:rPr>
      <w:rFonts w:ascii="Times New Roman" w:eastAsia="Times New Roman" w:hAnsi="Times New Roman" w:cs="Times New Roman"/>
      <w:b/>
      <w:bCs/>
      <w:i w:val="0"/>
      <w:color w:val="2F5496" w:themeShade="BF"/>
      <w:sz w:val="20"/>
      <w:szCs w:val="20"/>
    </w:rPr>
  </w:style>
  <w:style w:type="paragraph" w:styleId="Heading6">
    <w:name w:val="heading 6"/>
    <w:basedOn w:val="Normal"/>
    <w:next w:val="Normal"/>
    <w:link w:val="Heading6Char"/>
    <w:uiPriority w:val="9"/>
    <w:qFormat/>
    <w:rsid w:val="00506D7A"/>
    <w:pPr>
      <w:keepNext/>
      <w:keepLines/>
      <w:spacing w:before="40" w:after="0"/>
      <w:outlineLvl w:val="5"/>
    </w:pPr>
    <w:rPr>
      <w:rFonts w:ascii="Times New Roman" w:eastAsia="Times New Roman" w:hAnsi="Times New Roman" w:cs="Times New Roman"/>
      <w:b/>
      <w:bCs/>
      <w:i w:val="0"/>
      <w:color w:val="1F3763" w:themeShade="7F"/>
      <w:sz w:val="16"/>
      <w:szCs w:val="16"/>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Calibri Light" w:eastAsia="Times New Roman" w:hAnsi="Calibri Light" w:cs="Times New Roman"/>
      <w:color w:val="2F5496" w:themeShade="BF"/>
      <w:sz w:val="32"/>
      <w:szCs w:val="32"/>
    </w:rPr>
  </w:style>
  <w:style w:type="character" w:customStyle="1" w:styleId="Heading2Char">
    <w:name w:val="Heading 2 Char"/>
    <w:basedOn w:val="DefaultParagraphFont"/>
    <w:link w:val="Heading2"/>
    <w:uiPriority w:val="9"/>
    <w:rsid w:val="00506D7A"/>
    <w:rPr>
      <w:rFonts w:ascii="Calibri Light" w:eastAsia="Times New Roman" w:hAnsi="Calibri Light" w:cs="Times New Roman"/>
      <w:color w:val="2F5496" w:themeShade="BF"/>
      <w:sz w:val="26"/>
      <w:szCs w:val="26"/>
    </w:rPr>
  </w:style>
  <w:style w:type="character" w:customStyle="1" w:styleId="Heading3Char">
    <w:name w:val="Heading 3 Char"/>
    <w:basedOn w:val="DefaultParagraphFont"/>
    <w:link w:val="Heading3"/>
    <w:uiPriority w:val="9"/>
    <w:rsid w:val="00506D7A"/>
    <w:rPr>
      <w:rFonts w:ascii="Calibri Light" w:eastAsia="Times New Roman" w:hAnsi="Calibri Light" w:cs="Times New Roman"/>
      <w:color w:val="1F3763" w:themeShade="7F"/>
      <w:sz w:val="24"/>
      <w:szCs w:val="24"/>
    </w:rPr>
  </w:style>
  <w:style w:type="character" w:customStyle="1" w:styleId="Heading4Char">
    <w:name w:val="Heading 4 Char"/>
    <w:basedOn w:val="DefaultParagraphFont"/>
    <w:link w:val="Heading4"/>
    <w:uiPriority w:val="9"/>
    <w:rsid w:val="00506D7A"/>
    <w:rPr>
      <w:rFonts w:ascii="Calibri Light" w:eastAsia="Times New Roman" w:hAnsi="Calibri Light" w:cs="Times New Roman"/>
      <w:i/>
      <w:iCs/>
      <w:color w:val="2F5496" w:themeShade="BF"/>
    </w:rPr>
  </w:style>
  <w:style w:type="character" w:customStyle="1" w:styleId="Heading5Char">
    <w:name w:val="Heading 5 Char"/>
    <w:basedOn w:val="DefaultParagraphFont"/>
    <w:link w:val="Heading5"/>
    <w:uiPriority w:val="9"/>
    <w:rsid w:val="00506D7A"/>
    <w:rPr>
      <w:rFonts w:ascii="Calibri Light" w:eastAsia="Times New Roman" w:hAnsi="Calibri Light" w:cs="Times New Roman"/>
      <w:color w:val="2F5496" w:themeShade="BF"/>
    </w:rPr>
  </w:style>
  <w:style w:type="character" w:customStyle="1" w:styleId="Heading6Char">
    <w:name w:val="Heading 6 Char"/>
    <w:basedOn w:val="DefaultParagraphFont"/>
    <w:link w:val="Heading6"/>
    <w:uiPriority w:val="9"/>
    <w:rsid w:val="00506D7A"/>
    <w:rPr>
      <w:rFonts w:ascii="Calibri Light" w:eastAsia="Times New Roman" w:hAnsi="Calibri Light" w:cs="Times New Roman"/>
      <w:color w:val="1F3763" w:themeShade="7F"/>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theme" Target="theme/theme1.xml" /><Relationship Id="rId11"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viasatelital.com/notas/wp-content/uploads/2011/11/1.jpg" TargetMode="External" /><Relationship Id="rId5" Type="http://schemas.openxmlformats.org/officeDocument/2006/relationships/image" Target="media/image1.png" /><Relationship Id="rId6" Type="http://schemas.openxmlformats.org/officeDocument/2006/relationships/hyperlink" Target="http://viasatelital.com/notas/wp-content/uploads/2011/11/2.jpg" TargetMode="External" /><Relationship Id="rId7" Type="http://schemas.openxmlformats.org/officeDocument/2006/relationships/hyperlink" Target="http://viasatelital.com/notas/wp-content/uploads/2011/11/7.jpg" TargetMode="External" /><Relationship Id="rId8" Type="http://schemas.openxmlformats.org/officeDocument/2006/relationships/hyperlink" Target="http://viasatelital.com/notas/wp-content/uploads/2011/11/9.jpg" TargetMode="External" /><Relationship Id="rId9" Type="http://schemas.openxmlformats.org/officeDocument/2006/relationships/hyperlink" Target="http://viasatelital.com/notas/wp-content/uploads/2011/11/101.jpg" TargetMode="Externa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Inusuales ataúdes hechos en Ghana</dc:title>
  <cp:revision>0</cp:revision>
</cp:coreProperties>
</file>